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62" w:after="0"/>
        <w:ind w:left="7571" w:hanging="0"/>
        <w:rPr/>
      </w:pPr>
      <w:r>
        <w:rPr/>
        <w:t>Додаток</w:t>
      </w:r>
      <w:r>
        <w:rPr>
          <w:spacing w:val="-2"/>
        </w:rPr>
        <w:t xml:space="preserve"> </w:t>
      </w:r>
      <w:r>
        <w:rPr/>
        <w:t>№2</w:t>
      </w:r>
    </w:p>
    <w:p>
      <w:pPr>
        <w:pStyle w:val="Style15"/>
        <w:tabs>
          <w:tab w:val="clear" w:pos="720"/>
          <w:tab w:val="left" w:pos="8051" w:leader="none"/>
          <w:tab w:val="left" w:pos="8940" w:leader="none"/>
          <w:tab w:val="left" w:pos="9162" w:leader="none"/>
          <w:tab w:val="left" w:pos="9757" w:leader="none"/>
          <w:tab w:val="left" w:pos="9806" w:leader="none"/>
        </w:tabs>
        <w:spacing w:lineRule="auto" w:line="259" w:before="19" w:after="0"/>
        <w:ind w:left="7571" w:right="560" w:hanging="0"/>
        <w:rPr/>
      </w:pPr>
      <w:r>
        <w:rPr/>
        <w:t>до</w:t>
        <w:tab/>
        <w:t>договору</w:t>
        <w:tab/>
        <w:tab/>
        <w:t>про</w:t>
        <w:tab/>
        <w:t>постачання</w:t>
      </w:r>
      <w:r>
        <w:rPr>
          <w:spacing w:val="-52"/>
        </w:rPr>
        <w:t xml:space="preserve"> </w:t>
      </w:r>
      <w:r>
        <w:rPr/>
        <w:t>електричної</w:t>
        <w:tab/>
        <w:t>енергії</w:t>
        <w:tab/>
        <w:tab/>
      </w:r>
      <w:r>
        <w:rPr>
          <w:spacing w:val="-1"/>
        </w:rPr>
        <w:t>споживачу</w:t>
      </w:r>
    </w:p>
    <w:p>
      <w:pPr>
        <w:pStyle w:val="Style15"/>
        <w:tabs>
          <w:tab w:val="clear" w:pos="720"/>
          <w:tab w:val="left" w:pos="8455" w:leader="none"/>
          <w:tab w:val="left" w:pos="9880" w:leader="none"/>
          <w:tab w:val="left" w:pos="10804" w:leader="none"/>
        </w:tabs>
        <w:spacing w:lineRule="auto" w:line="259"/>
        <w:ind w:left="7571" w:right="580" w:hanging="0"/>
        <w:rPr/>
      </w:pPr>
      <w:r>
        <w:rPr/>
        <w:t>№</w:t>
      </w:r>
      <w:r>
        <w:rPr>
          <w:u w:val="single"/>
        </w:rPr>
        <w:tab/>
        <w:tab/>
        <w:tab/>
      </w:r>
      <w:r>
        <w:rPr/>
        <w:t xml:space="preserve"> від</w:t>
      </w:r>
      <w:r>
        <w:rPr>
          <w:spacing w:val="-2"/>
        </w:rPr>
        <w:t xml:space="preserve"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lang w:val="en-US"/>
        </w:rPr>
        <w:t>_</w:t>
      </w:r>
      <w:r>
        <w:rPr/>
        <w:t>р.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1"/>
        <w:spacing w:before="146" w:after="0"/>
        <w:ind w:left="2516" w:right="2899" w:hanging="0"/>
        <w:jc w:val="center"/>
        <w:rPr/>
      </w:pPr>
      <w:r>
        <w:rPr/>
        <w:t>КОМЕРЦІЙНА</w:t>
      </w:r>
      <w:r>
        <w:rPr>
          <w:spacing w:val="-7"/>
        </w:rPr>
        <w:t xml:space="preserve"> </w:t>
      </w:r>
      <w:r>
        <w:rPr/>
        <w:t>ПРОПОЗИЦІЯ</w:t>
      </w:r>
      <w:r>
        <w:rPr>
          <w:spacing w:val="-2"/>
        </w:rPr>
        <w:t xml:space="preserve"> </w:t>
      </w:r>
    </w:p>
    <w:p>
      <w:pPr>
        <w:pStyle w:val="Style15"/>
        <w:spacing w:before="2" w:after="0"/>
        <w:rPr>
          <w:b/>
          <w:sz w:val="17"/>
        </w:rPr>
      </w:pPr>
      <w:r>
        <w:rPr>
          <w:b/>
          <w:sz w:val="17"/>
        </w:rPr>
      </w:r>
    </w:p>
    <w:p>
      <w:pPr>
        <w:pStyle w:val="Style15"/>
        <w:tabs>
          <w:tab w:val="clear" w:pos="720"/>
          <w:tab w:val="left" w:pos="8957" w:leader="none"/>
        </w:tabs>
        <w:spacing w:lineRule="auto" w:line="254" w:before="91" w:after="0"/>
        <w:ind w:left="766" w:right="558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(далі - Споживач)</w:t>
      </w:r>
      <w:r>
        <w:rPr>
          <w:spacing w:val="1"/>
        </w:rPr>
        <w:t xml:space="preserve"> </w:t>
      </w:r>
      <w:r>
        <w:rPr/>
        <w:t>ТОВАРИСТВО</w:t>
      </w:r>
      <w:r>
        <w:rPr>
          <w:spacing w:val="7"/>
        </w:rPr>
        <w:t xml:space="preserve"> </w:t>
      </w:r>
      <w:r>
        <w:rPr/>
        <w:t>З</w:t>
      </w:r>
      <w:r>
        <w:rPr>
          <w:spacing w:val="8"/>
        </w:rPr>
        <w:t xml:space="preserve"> </w:t>
      </w:r>
      <w:r>
        <w:rPr/>
        <w:t>ОБМЕЖЕНОЮ</w:t>
      </w:r>
      <w:r>
        <w:rPr>
          <w:spacing w:val="10"/>
        </w:rPr>
        <w:t xml:space="preserve"> </w:t>
      </w:r>
      <w:r>
        <w:rPr/>
        <w:t>ВІДПОВІДАЛЬНІСТЮ</w:t>
      </w:r>
      <w:r>
        <w:rPr>
          <w:spacing w:val="10"/>
        </w:rPr>
        <w:t xml:space="preserve"> </w:t>
      </w:r>
      <w:r>
        <w:rPr/>
        <w:t>«ІВАНО-ФРАНКІВСЬКГАЗ</w:t>
      </w:r>
      <w:r>
        <w:rPr>
          <w:spacing w:val="8"/>
        </w:rPr>
        <w:t xml:space="preserve"> </w:t>
      </w:r>
      <w:r>
        <w:rPr/>
        <w:t>ЗБУТ»,</w:t>
      </w:r>
      <w:r>
        <w:rPr>
          <w:spacing w:val="11"/>
        </w:rPr>
        <w:t xml:space="preserve"> </w:t>
      </w:r>
      <w:r>
        <w:rPr/>
        <w:t>(далі</w:t>
      </w:r>
      <w:r>
        <w:rPr>
          <w:spacing w:val="11"/>
        </w:rPr>
        <w:t xml:space="preserve"> </w:t>
      </w:r>
      <w:r>
        <w:rPr/>
        <w:t>-</w:t>
      </w:r>
    </w:p>
    <w:p>
      <w:pPr>
        <w:pStyle w:val="Style15"/>
        <w:spacing w:lineRule="auto" w:line="259" w:before="4" w:after="0"/>
        <w:ind w:left="200" w:right="564" w:hanging="0"/>
        <w:jc w:val="both"/>
        <w:rPr/>
      </w:pPr>
      <w:r>
        <w:rPr/>
        <w:t>Постачальник),</w:t>
      </w:r>
      <w:r>
        <w:rPr>
          <w:spacing w:val="1"/>
        </w:rPr>
        <w:t xml:space="preserve"> </w:t>
      </w:r>
      <w:r>
        <w:rPr/>
        <w:t>яке</w:t>
      </w:r>
      <w:r>
        <w:rPr>
          <w:spacing w:val="1"/>
        </w:rPr>
        <w:t xml:space="preserve"> </w:t>
      </w:r>
      <w:r>
        <w:rPr/>
        <w:t>діє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підставі</w:t>
      </w:r>
      <w:r>
        <w:rPr>
          <w:spacing w:val="1"/>
        </w:rPr>
        <w:t xml:space="preserve"> </w:t>
      </w:r>
      <w:r>
        <w:rPr/>
        <w:t>ліцензії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провадження</w:t>
      </w:r>
      <w:r>
        <w:rPr>
          <w:spacing w:val="1"/>
        </w:rPr>
        <w:t xml:space="preserve"> </w:t>
      </w:r>
      <w:r>
        <w:rPr/>
        <w:t>господарської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постачання</w:t>
      </w:r>
      <w:r>
        <w:rPr>
          <w:spacing w:val="1"/>
        </w:rPr>
        <w:t xml:space="preserve"> </w:t>
      </w:r>
      <w:r>
        <w:rPr/>
        <w:t>електричної енергії споживачу (постанова Національної комісії, що здійснює державне регулювання у сферах</w:t>
      </w:r>
      <w:r>
        <w:rPr>
          <w:spacing w:val="1"/>
        </w:rPr>
        <w:t xml:space="preserve"> </w:t>
      </w:r>
      <w:r>
        <w:rPr/>
        <w:t>енергетики та комунальних послуг (далі - Регулятор) №61 від 25.01.2019р.), встановлює наступні умови даної</w:t>
      </w:r>
      <w:r>
        <w:rPr>
          <w:spacing w:val="1"/>
        </w:rPr>
        <w:t xml:space="preserve"> </w:t>
      </w:r>
      <w:r>
        <w:rPr/>
        <w:t>комерційної пропозиції.</w:t>
      </w:r>
    </w:p>
    <w:p>
      <w:pPr>
        <w:pStyle w:val="Style15"/>
        <w:spacing w:lineRule="auto" w:line="259"/>
        <w:ind w:left="200" w:right="578" w:firstLine="566"/>
        <w:jc w:val="both"/>
        <w:rPr/>
      </w:pPr>
      <w:r>
        <w:rPr/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rPr/>
        <w:t>енергії»,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роздрібного</w:t>
      </w:r>
      <w:r>
        <w:rPr>
          <w:spacing w:val="1"/>
        </w:rPr>
        <w:t xml:space="preserve"> </w:t>
      </w:r>
      <w:r>
        <w:rPr/>
        <w:t>ринку</w:t>
      </w:r>
      <w:r>
        <w:rPr>
          <w:spacing w:val="1"/>
        </w:rPr>
        <w:t xml:space="preserve"> </w:t>
      </w:r>
      <w:r>
        <w:rPr/>
        <w:t>електричної</w:t>
      </w:r>
      <w:r>
        <w:rPr>
          <w:spacing w:val="1"/>
        </w:rPr>
        <w:t xml:space="preserve"> </w:t>
      </w:r>
      <w:r>
        <w:rPr/>
        <w:t>енергії,</w:t>
      </w:r>
      <w:r>
        <w:rPr>
          <w:spacing w:val="1"/>
        </w:rPr>
        <w:t xml:space="preserve"> </w:t>
      </w:r>
      <w:r>
        <w:rPr/>
        <w:t>затверджених</w:t>
      </w:r>
      <w:r>
        <w:rPr>
          <w:spacing w:val="1"/>
        </w:rPr>
        <w:t xml:space="preserve"> </w:t>
      </w:r>
      <w:r>
        <w:rPr/>
        <w:t>постановою</w:t>
      </w:r>
      <w:r>
        <w:rPr>
          <w:spacing w:val="1"/>
        </w:rPr>
        <w:t xml:space="preserve"> </w:t>
      </w:r>
      <w:r>
        <w:rPr/>
        <w:t>Регулятора,</w:t>
      </w:r>
      <w:r>
        <w:rPr>
          <w:spacing w:val="1"/>
        </w:rPr>
        <w:t xml:space="preserve"> </w:t>
      </w:r>
      <w:r>
        <w:rPr/>
        <w:t>№312</w:t>
      </w:r>
      <w:r>
        <w:rPr>
          <w:spacing w:val="1"/>
        </w:rPr>
        <w:t xml:space="preserve"> </w:t>
      </w:r>
      <w:r>
        <w:rPr/>
        <w:t>від</w:t>
      </w:r>
      <w:r>
        <w:rPr>
          <w:spacing w:val="1"/>
        </w:rPr>
        <w:t xml:space="preserve"> </w:t>
      </w:r>
      <w:r>
        <w:rPr/>
        <w:t>14.03.2018р. (далі – ПРРЕЕ), Правил ринку, затверджених постановою Регулятора №307 від 14.03.2018р. (далі –</w:t>
      </w:r>
      <w:r>
        <w:rPr>
          <w:spacing w:val="1"/>
        </w:rPr>
        <w:t xml:space="preserve"> </w:t>
      </w:r>
      <w:r>
        <w:rPr/>
        <w:t>ПР)</w:t>
      </w:r>
      <w:r>
        <w:rPr>
          <w:spacing w:val="-1"/>
        </w:rPr>
        <w:t xml:space="preserve"> </w:t>
      </w:r>
      <w:r>
        <w:rPr/>
        <w:t>та Цивільного кодексу</w:t>
      </w:r>
      <w:r>
        <w:rPr>
          <w:spacing w:val="-3"/>
        </w:rPr>
        <w:t xml:space="preserve"> </w:t>
      </w:r>
      <w:r>
        <w:rPr/>
        <w:t>України</w:t>
      </w:r>
      <w:r>
        <w:rPr>
          <w:spacing w:val="-1"/>
        </w:rPr>
        <w:t xml:space="preserve"> </w:t>
      </w:r>
      <w:r>
        <w:rPr/>
        <w:t>і Господарського кодексу</w:t>
      </w:r>
      <w:r>
        <w:rPr>
          <w:spacing w:val="-2"/>
        </w:rPr>
        <w:t xml:space="preserve"> </w:t>
      </w:r>
      <w:r>
        <w:rPr/>
        <w:t>України.</w:t>
      </w:r>
    </w:p>
    <w:p>
      <w:pPr>
        <w:pStyle w:val="Style15"/>
        <w:spacing w:lineRule="auto" w:line="259"/>
        <w:ind w:left="200" w:right="580" w:firstLine="566"/>
        <w:jc w:val="both"/>
        <w:rPr/>
      </w:pPr>
      <w:r>
        <w:rPr/>
        <w:t>Територія</w:t>
      </w:r>
      <w:r>
        <w:rPr>
          <w:spacing w:val="1"/>
        </w:rPr>
        <w:t xml:space="preserve"> </w:t>
      </w:r>
      <w:r>
        <w:rPr/>
        <w:t>діяльності:</w:t>
      </w:r>
      <w:r>
        <w:rPr>
          <w:spacing w:val="1"/>
        </w:rPr>
        <w:t xml:space="preserve"> </w:t>
      </w:r>
      <w:r>
        <w:rPr/>
        <w:t>ТОВ</w:t>
      </w:r>
      <w:r>
        <w:rPr>
          <w:spacing w:val="1"/>
        </w:rPr>
        <w:t xml:space="preserve"> </w:t>
      </w:r>
      <w:r>
        <w:rPr/>
        <w:t>«ІВАНО-ФРАНКІВСЬКГАЗ</w:t>
      </w:r>
      <w:r>
        <w:rPr>
          <w:spacing w:val="1"/>
        </w:rPr>
        <w:t xml:space="preserve"> </w:t>
      </w:r>
      <w:r>
        <w:rPr/>
        <w:t>ЗБУТ»</w:t>
      </w:r>
      <w:r>
        <w:rPr>
          <w:spacing w:val="1"/>
        </w:rPr>
        <w:t xml:space="preserve"> </w:t>
      </w:r>
      <w:r>
        <w:rPr/>
        <w:t>здійснює</w:t>
      </w:r>
      <w:r>
        <w:rPr>
          <w:spacing w:val="1"/>
        </w:rPr>
        <w:t xml:space="preserve"> </w:t>
      </w:r>
      <w:r>
        <w:rPr/>
        <w:t>діяльність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постачання</w:t>
      </w:r>
      <w:r>
        <w:rPr>
          <w:spacing w:val="-52"/>
        </w:rPr>
        <w:t xml:space="preserve"> </w:t>
      </w:r>
      <w:r>
        <w:rPr/>
        <w:t>електричної</w:t>
      </w:r>
      <w:r>
        <w:rPr>
          <w:spacing w:val="1"/>
        </w:rPr>
        <w:t xml:space="preserve"> </w:t>
      </w:r>
      <w:r>
        <w:rPr/>
        <w:t>енергії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території</w:t>
      </w:r>
      <w:r>
        <w:rPr>
          <w:spacing w:val="1"/>
        </w:rPr>
        <w:t xml:space="preserve"> </w:t>
      </w:r>
      <w:r>
        <w:rPr/>
        <w:t>України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підставі</w:t>
      </w:r>
      <w:r>
        <w:rPr>
          <w:spacing w:val="1"/>
        </w:rPr>
        <w:t xml:space="preserve"> </w:t>
      </w:r>
      <w:r>
        <w:rPr/>
        <w:t>укладених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відповідними</w:t>
      </w:r>
      <w:r>
        <w:rPr>
          <w:spacing w:val="1"/>
        </w:rPr>
        <w:t xml:space="preserve"> </w:t>
      </w:r>
      <w:r>
        <w:rPr/>
        <w:t>Операторами</w:t>
      </w:r>
      <w:r>
        <w:rPr>
          <w:spacing w:val="1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розподілу/передачі</w:t>
      </w:r>
      <w:r>
        <w:rPr>
          <w:spacing w:val="-8"/>
        </w:rPr>
        <w:t xml:space="preserve"> </w:t>
      </w:r>
      <w:r>
        <w:rPr/>
        <w:t>(далі</w:t>
      </w:r>
      <w:r>
        <w:rPr>
          <w:spacing w:val="-5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Оператори)</w:t>
      </w:r>
      <w:r>
        <w:rPr>
          <w:spacing w:val="-8"/>
        </w:rPr>
        <w:t xml:space="preserve"> </w:t>
      </w:r>
      <w:r>
        <w:rPr/>
        <w:t>Договорів</w:t>
      </w:r>
      <w:r>
        <w:rPr>
          <w:spacing w:val="-8"/>
        </w:rPr>
        <w:t xml:space="preserve"> </w:t>
      </w:r>
      <w:r>
        <w:rPr/>
        <w:t>електропостачальника</w:t>
      </w:r>
      <w:r>
        <w:rPr>
          <w:spacing w:val="-4"/>
        </w:rPr>
        <w:t xml:space="preserve"> </w:t>
      </w:r>
      <w:r>
        <w:rPr/>
        <w:t>про</w:t>
      </w:r>
      <w:r>
        <w:rPr>
          <w:spacing w:val="-9"/>
        </w:rPr>
        <w:t xml:space="preserve"> </w:t>
      </w:r>
      <w:r>
        <w:rPr/>
        <w:t>надання</w:t>
      </w:r>
      <w:r>
        <w:rPr>
          <w:spacing w:val="-8"/>
        </w:rPr>
        <w:t xml:space="preserve"> </w:t>
      </w:r>
      <w:r>
        <w:rPr/>
        <w:t>послуг</w:t>
      </w:r>
      <w:r>
        <w:rPr>
          <w:spacing w:val="-6"/>
        </w:rPr>
        <w:t xml:space="preserve"> </w:t>
      </w:r>
      <w:r>
        <w:rPr/>
        <w:t>з</w:t>
      </w:r>
      <w:r>
        <w:rPr>
          <w:spacing w:val="-8"/>
        </w:rPr>
        <w:t xml:space="preserve"> </w:t>
      </w:r>
      <w:r>
        <w:rPr/>
        <w:t>розподілу/передачі</w:t>
      </w:r>
      <w:r>
        <w:rPr>
          <w:spacing w:val="1"/>
        </w:rPr>
        <w:t xml:space="preserve"> </w:t>
      </w:r>
      <w:r>
        <w:rPr/>
        <w:t>електричної енергії.</w:t>
      </w:r>
    </w:p>
    <w:p>
      <w:pPr>
        <w:pStyle w:val="Style15"/>
        <w:spacing w:lineRule="exact" w:line="252"/>
        <w:ind w:left="766" w:hanging="0"/>
        <w:jc w:val="both"/>
        <w:rPr/>
      </w:pPr>
      <w:r>
        <w:rPr/>
        <w:t>Предмет</w:t>
      </w:r>
      <w:r>
        <w:rPr>
          <w:spacing w:val="-5"/>
        </w:rPr>
        <w:t xml:space="preserve"> </w:t>
      </w:r>
      <w:r>
        <w:rPr/>
        <w:t>комерційної</w:t>
      </w:r>
      <w:r>
        <w:rPr>
          <w:spacing w:val="-2"/>
        </w:rPr>
        <w:t xml:space="preserve"> </w:t>
      </w:r>
      <w:r>
        <w:rPr/>
        <w:t>пропозиції:</w:t>
      </w:r>
      <w:r>
        <w:rPr>
          <w:spacing w:val="-2"/>
        </w:rPr>
        <w:t xml:space="preserve"> </w:t>
      </w:r>
      <w:r>
        <w:rPr/>
        <w:t>Постачання</w:t>
      </w:r>
      <w:r>
        <w:rPr>
          <w:spacing w:val="-4"/>
        </w:rPr>
        <w:t xml:space="preserve"> </w:t>
      </w:r>
      <w:r>
        <w:rPr/>
        <w:t>електричної</w:t>
      </w:r>
      <w:r>
        <w:rPr>
          <w:spacing w:val="-4"/>
        </w:rPr>
        <w:t xml:space="preserve"> </w:t>
      </w:r>
      <w:r>
        <w:rPr/>
        <w:t>енергії</w:t>
      </w:r>
      <w:r>
        <w:rPr>
          <w:spacing w:val="-2"/>
        </w:rPr>
        <w:t xml:space="preserve"> </w:t>
      </w:r>
      <w:r>
        <w:rPr/>
        <w:t>як</w:t>
      </w:r>
      <w:r>
        <w:rPr>
          <w:spacing w:val="-3"/>
        </w:rPr>
        <w:t xml:space="preserve"> </w:t>
      </w:r>
      <w:r>
        <w:rPr/>
        <w:t>товарної</w:t>
      </w:r>
      <w:r>
        <w:rPr>
          <w:spacing w:val="-2"/>
        </w:rPr>
        <w:t xml:space="preserve"> </w:t>
      </w:r>
      <w:r>
        <w:rPr/>
        <w:t>продукції.</w:t>
      </w:r>
    </w:p>
    <w:p>
      <w:pPr>
        <w:pStyle w:val="1"/>
        <w:tabs>
          <w:tab w:val="clear" w:pos="720"/>
          <w:tab w:val="left" w:pos="8106" w:leader="none"/>
        </w:tabs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5E10E738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7109460" cy="5224145"/>
                <wp:effectExtent l="0" t="0" r="0" b="0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640" cy="522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623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255"/>
                              <w:gridCol w:w="9367"/>
                            </w:tblGrid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9" w:after="0"/>
                                    <w:ind w:left="309" w:hanging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Умова</w:t>
                                  </w:r>
                                </w:p>
                              </w:tc>
                              <w:tc>
                                <w:tcPr>
                                  <w:tcW w:w="9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9" w:after="0"/>
                                    <w:ind w:left="4078" w:right="4066" w:hang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Пропозиція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5" w:hRule="atLeast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44" w:hanging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Вартість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9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40" w:after="0"/>
                                    <w:ind w:left="141" w:right="134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Вартість за розрахунковий період (місяць) :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240" w:after="0"/>
                                    <w:ind w:left="141" w:right="134" w:hanging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Вф = Vф × (Ц + Тосп), де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76" w:before="240" w:after="0"/>
                                    <w:ind w:left="141" w:right="134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Вф - вартість спожитого місячного обсягу електричної енергії у розрахунковому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76" w:before="0" w:after="0"/>
                                    <w:ind w:left="141" w:right="134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місяці постачання, грн без ПДВ;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76" w:before="240" w:after="0"/>
                                    <w:ind w:left="141" w:right="134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Vф - фактичний обсяг споживання електричної енергії за місяць постачання, МВт*год;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76" w:before="240" w:after="0"/>
                                    <w:ind w:left="141" w:right="134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Ц - фіксована ціна електричної енергії 5 000,00 грн/МВт*год без ПДВ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76" w:before="240" w:after="0"/>
                                    <w:ind w:left="141" w:right="134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Тосп - тариф на послуги з передачі електричної енергії,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Регулятором, грн/МВт*год.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5" w:hRule="atLeast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 w:before="135" w:after="0"/>
                                    <w:ind w:left="127" w:right="129" w:firstLine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Спосіб оплати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 послугу 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розподілу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електроенергії</w:t>
                                  </w:r>
                                </w:p>
                              </w:tc>
                              <w:tc>
                                <w:tcPr>
                                  <w:tcW w:w="9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83" w:after="0"/>
                                    <w:ind w:left="141" w:hanging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</w:t>
                                  </w:r>
                                  <w:r>
                                    <w:rPr>
                                      <w:spacing w:val="2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сплачує</w:t>
                                  </w:r>
                                  <w:r>
                                    <w:rPr>
                                      <w:spacing w:val="1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вартість</w:t>
                                  </w:r>
                                  <w:r>
                                    <w:rPr>
                                      <w:spacing w:val="2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послуги</w:t>
                                  </w:r>
                                  <w:r>
                                    <w:rPr>
                                      <w:spacing w:val="2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17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розподілу</w:t>
                                  </w:r>
                                  <w:r>
                                    <w:rPr>
                                      <w:spacing w:val="1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2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</w:t>
                                  </w:r>
                                  <w:r>
                                    <w:rPr>
                                      <w:spacing w:val="1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безпосередньо</w:t>
                                  </w:r>
                                  <w:r>
                                    <w:rPr>
                                      <w:spacing w:val="18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Оператору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системи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розподілу.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f" o:allowincell="f" style="position:absolute;margin-left:36pt;margin-top:14.95pt;width:559.75pt;height:411.3pt;mso-wrap-style:none;v-text-anchor:middle;mso-position-horizontal-relative:page" wp14:anchorId="5E10E738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10623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255"/>
                        <w:gridCol w:w="9367"/>
                      </w:tblGrid>
                      <w:tr>
                        <w:trPr>
                          <w:trHeight w:val="351" w:hRule="atLeast"/>
                        </w:trPr>
                        <w:tc>
                          <w:tcPr>
                            <w:tcW w:w="12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9" w:after="0"/>
                              <w:ind w:left="309" w:hanging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Умова</w:t>
                            </w:r>
                          </w:p>
                        </w:tc>
                        <w:tc>
                          <w:tcPr>
                            <w:tcW w:w="9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9" w:after="0"/>
                              <w:ind w:left="4078" w:right="4066" w:hang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Пропозиція</w:t>
                            </w:r>
                          </w:p>
                        </w:tc>
                      </w:tr>
                      <w:tr>
                        <w:trPr>
                          <w:trHeight w:val="4875" w:hRule="atLeast"/>
                        </w:trPr>
                        <w:tc>
                          <w:tcPr>
                            <w:tcW w:w="12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44" w:hanging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Вартість</w:t>
                            </w:r>
                            <w:r>
                              <w:rPr>
                                <w:b/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електричної</w:t>
                            </w:r>
                            <w:r>
                              <w:rPr>
                                <w:b/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9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40" w:after="0"/>
                              <w:ind w:left="141" w:right="134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Вартість за розрахунковий період (місяць) :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240" w:after="0"/>
                              <w:ind w:left="141" w:right="134" w:hanging="0"/>
                              <w:jc w:val="center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Вф = Vф × (Ц + Тосп), де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76" w:before="240" w:after="0"/>
                              <w:ind w:left="141" w:right="134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Вф - вартість спожитого місячного обсягу електричної енергії у розрахунковому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76" w:before="0" w:after="0"/>
                              <w:ind w:left="141" w:right="134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місяці постачання, грн без ПДВ;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76" w:before="240" w:after="0"/>
                              <w:ind w:left="141" w:right="134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Vф - фактичний обсяг споживання електричної енергії за місяць постачання, МВт*год;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76" w:before="240" w:after="0"/>
                              <w:ind w:left="141" w:right="134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Ц - фіксована ціна електричної енергії 5 000,00 грн/МВт*год без ПДВ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76" w:before="240" w:after="0"/>
                              <w:ind w:left="141" w:right="134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Тосп - тариф на послуги з передачі електричної енергії,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Регулятором, грн/МВт*год.</w:t>
                            </w:r>
                          </w:p>
                        </w:tc>
                      </w:tr>
                      <w:tr>
                        <w:trPr>
                          <w:trHeight w:val="2265" w:hRule="atLeast"/>
                        </w:trPr>
                        <w:tc>
                          <w:tcPr>
                            <w:tcW w:w="12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 w:before="135" w:after="0"/>
                              <w:ind w:left="127" w:right="129" w:firstLine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Спосіб оплати</w:t>
                            </w:r>
                            <w:r>
                              <w:rPr>
                                <w:b/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 послугу з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розподілу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електроенергії</w:t>
                            </w:r>
                          </w:p>
                        </w:tc>
                        <w:tc>
                          <w:tcPr>
                            <w:tcW w:w="9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83" w:after="0"/>
                              <w:ind w:left="141" w:hanging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</w:t>
                            </w:r>
                            <w:r>
                              <w:rPr>
                                <w:spacing w:val="2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сплачує</w:t>
                            </w:r>
                            <w:r>
                              <w:rPr>
                                <w:spacing w:val="1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вартість</w:t>
                            </w:r>
                            <w:r>
                              <w:rPr>
                                <w:spacing w:val="2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послуги</w:t>
                            </w:r>
                            <w:r>
                              <w:rPr>
                                <w:spacing w:val="2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</w:t>
                            </w:r>
                            <w:r>
                              <w:rPr>
                                <w:spacing w:val="17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розподілу</w:t>
                            </w:r>
                            <w:r>
                              <w:rPr>
                                <w:spacing w:val="1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електричної</w:t>
                            </w:r>
                            <w:r>
                              <w:rPr>
                                <w:spacing w:val="2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</w:t>
                            </w:r>
                            <w:r>
                              <w:rPr>
                                <w:spacing w:val="1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безпосередньо</w:t>
                            </w:r>
                            <w:r>
                              <w:rPr>
                                <w:spacing w:val="18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Оператору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системи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розподілу.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8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rPr>
          <w:spacing w:val="-1"/>
        </w:rPr>
        <w:t>публічної</w:t>
      </w:r>
      <w:r>
        <w:rPr>
          <w:spacing w:val="-14"/>
        </w:rPr>
        <w:t xml:space="preserve"> </w:t>
      </w:r>
      <w:r>
        <w:rPr>
          <w:spacing w:val="-1"/>
        </w:rPr>
        <w:t>комерційної</w:t>
      </w:r>
      <w:r>
        <w:rPr>
          <w:spacing w:val="-10"/>
        </w:rPr>
        <w:t xml:space="preserve"> </w:t>
      </w:r>
      <w:r>
        <w:rPr/>
        <w:t>пропозиції:</w:t>
      </w:r>
      <w:r>
        <w:rPr>
          <w:spacing w:val="-13"/>
        </w:rPr>
        <w:t xml:space="preserve"> </w:t>
      </w:r>
      <w:r>
        <w:rPr/>
        <w:t>початок</w:t>
      </w:r>
      <w:r>
        <w:rPr>
          <w:spacing w:val="-9"/>
        </w:rPr>
        <w:t xml:space="preserve"> __.__.</w:t>
      </w:r>
      <w:r>
        <w:rPr>
          <w:spacing w:val="-1"/>
        </w:rPr>
        <w:t>202_р.; кінець</w:t>
      </w:r>
      <w:r>
        <w:rPr>
          <w:spacing w:val="-7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31.12.202_р.</w:t>
      </w:r>
    </w:p>
    <w:p>
      <w:pPr>
        <w:pStyle w:val="1"/>
        <w:tabs>
          <w:tab w:val="clear" w:pos="720"/>
          <w:tab w:val="left" w:pos="8106" w:leader="none"/>
        </w:tabs>
        <w:jc w:val="both"/>
        <w:rPr/>
      </w:pPr>
      <w:r>
        <w:rPr/>
      </w:r>
    </w:p>
    <w:p>
      <w:pPr>
        <w:pStyle w:val="1"/>
        <w:tabs>
          <w:tab w:val="clear" w:pos="720"/>
          <w:tab w:val="left" w:pos="8106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type w:val="nextPage"/>
          <w:pgSz w:w="11906" w:h="16838"/>
          <w:pgMar w:left="520" w:right="0" w:gutter="0" w:header="0" w:top="340" w:footer="0" w:bottom="280"/>
          <w:pgNumType w:fmt="decimal"/>
          <w:formProt w:val="false"/>
          <w:textDirection w:val="lrTb"/>
        </w:sectPr>
      </w:pPr>
    </w:p>
    <w:p>
      <w:pPr>
        <w:sectPr>
          <w:type w:val="nextPage"/>
          <w:pgSz w:w="11906" w:h="16838"/>
          <w:pgMar w:left="520" w:right="0" w:gutter="0" w:header="0" w:top="40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4" w:after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498342F5">
                <wp:simplePos x="0" y="0"/>
                <wp:positionH relativeFrom="page">
                  <wp:posOffset>457200</wp:posOffset>
                </wp:positionH>
                <wp:positionV relativeFrom="page">
                  <wp:posOffset>271145</wp:posOffset>
                </wp:positionV>
                <wp:extent cx="7109460" cy="9618345"/>
                <wp:effectExtent l="0" t="0" r="0" b="0"/>
                <wp:wrapNone/>
                <wp:docPr id="3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640" cy="961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629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272"/>
                              <w:gridCol w:w="9356"/>
                            </w:tblGrid>
                            <w:tr>
                              <w:trPr>
                                <w:trHeight w:val="2668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621" w:hanging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Спосіб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оплати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76" w:before="2" w:after="0"/>
                                    <w:ind w:left="141" w:right="131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 здійснює оплату за електроенергію до початку розрахункового періоду, в місяці що передує розрахунковому, попереднім платежем (Вп) 100% від загальної вартості заявленого в Повідомленні планованого обсягу споживання електричної енергії (Vп), виходячи з фіксованої ціни та тарифу на послуги з передачі електричної енергії, на підставі рахунку Постачальника на попередню оплату або самостійно розрахованої (за формулою Вп = Vп × (Ц + Тосп), грошовими коштами на рахунок Постачальника. Після закінчення розрахункового періоду остаточний розрахунок (перерахунок) здійснюється за фактичним обсягом споживання електричної енергії з використанням фактичної закупівельної вартості електричної енергії, що закуплена Постачальником за результатами розрахункового періоду.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3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jc w:val="left"/>
                                    <w:rPr>
                                      <w:b/>
                                      <w:sz w:val="33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33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 w:before="0" w:after="0"/>
                                    <w:ind w:left="732" w:right="210" w:hanging="50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Розмір пені та/або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штрафу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41" w:right="131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 разі несвоєчасної оплати обумовлених даним Додатком платежів, Постачальник електричної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 проводить Споживачу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нарахування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весь час прострочення: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41" w:right="129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пені у розмірі 0,5% за кожен день прострочення, але не більше подвійної облікової ставки НБУ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суми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боргу, що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діяла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період, за який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здійснюються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нарахування;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2" w:before="0" w:after="0"/>
                                    <w:ind w:left="141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3%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річних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простроченої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суми.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41" w:right="126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цьому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сума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боргу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повинна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бути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сплачена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Споживачем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урахуванням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встановленого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індексу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інфляції.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Пеня,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3%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річних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інфляційні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нарахування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сплачуються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поточ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ний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рахунок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Постачальника</w:t>
                                  </w:r>
                                  <w:r>
                                    <w:rPr>
                                      <w:spacing w:val="7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енергії,</w:t>
                                  </w:r>
                                  <w:r>
                                    <w:rPr>
                                      <w:spacing w:val="7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який</w:t>
                                  </w:r>
                                  <w:r>
                                    <w:rPr>
                                      <w:spacing w:val="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вказується</w:t>
                                  </w:r>
                                  <w:r>
                                    <w:rPr>
                                      <w:spacing w:val="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рахунках,</w:t>
                                  </w:r>
                                  <w:r>
                                    <w:rPr>
                                      <w:spacing w:val="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протягом</w:t>
                                  </w:r>
                                  <w:r>
                                    <w:rPr>
                                      <w:spacing w:val="8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5</w:t>
                                  </w:r>
                                  <w:r>
                                    <w:rPr>
                                      <w:spacing w:val="8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операційних</w:t>
                                  </w:r>
                                  <w:r>
                                    <w:rPr>
                                      <w:spacing w:val="7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днів</w:t>
                                  </w:r>
                                  <w:r>
                                    <w:rPr>
                                      <w:spacing w:val="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 w:before="0" w:after="0"/>
                                    <w:ind w:left="141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дня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їх отримання.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6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90" w:before="170" w:after="0"/>
                                    <w:ind w:left="112" w:right="112" w:hanging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Порядок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звіряння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фактичного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обсягу спожитої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електроенергії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69" w:after="0"/>
                                    <w:ind w:left="141" w:hanging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Проводиться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перший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робочий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місяця,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слідує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розрахунковим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місяцем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6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90" w:before="170" w:after="0"/>
                                    <w:ind w:left="139" w:right="136" w:hanging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12"/>
                                      <w:szCs w:val="22"/>
                                      <w:lang w:eastAsia="en-US" w:bidi="ar-SA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ермін надання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рахунку за спожиту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електричну енергію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строк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його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оплати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7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 w:before="0" w:after="0"/>
                                    <w:ind w:left="141" w:right="128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Після закінчення розрахункового періоду Постачальник надає Споживачу рахунок на оплату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вартості</w:t>
                                  </w:r>
                                  <w:r>
                                    <w:rPr>
                                      <w:spacing w:val="-1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спожитої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електроенергії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розрахунковому</w:t>
                                  </w:r>
                                  <w:r>
                                    <w:rPr>
                                      <w:spacing w:val="-1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періоді.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здійснює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оплату</w:t>
                                  </w:r>
                                  <w:r>
                                    <w:rPr>
                                      <w:spacing w:val="-1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протягом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5 робочих днів від дня отримання рахунку, безготівковими грошовими коштами на рахунок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Постачальника,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але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пізніше ніж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числа місяця,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слідує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розрахунковим.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2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 w:before="135" w:after="0"/>
                                    <w:ind w:left="213" w:right="215" w:hang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Розмір штрафу за дострокове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розірвання Договору у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випадках, не передбачених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умовами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 w:before="0" w:after="0"/>
                                    <w:ind w:left="141" w:right="126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який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має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чинний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договір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фіксованим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терміном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(строком)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дії,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зобов’язаний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розрахунковому</w:t>
                                  </w:r>
                                  <w:r>
                                    <w:rPr>
                                      <w:spacing w:val="5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періоді</w:t>
                                  </w:r>
                                  <w:r>
                                    <w:rPr>
                                      <w:spacing w:val="5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5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якому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ініційовано дострокове розірвання договору, окрім фактично спожитих обсягів електроенергії,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сплатити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штраф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дострокове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припинення</w:t>
                                  </w:r>
                                  <w:r>
                                    <w:rPr>
                                      <w:spacing w:val="-1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дії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договору.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Штраф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сплачується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1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випадку</w:t>
                                  </w:r>
                                  <w:r>
                                    <w:rPr>
                                      <w:spacing w:val="-1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коли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повідомлення Споживача про дострокове припинення договору здійснено пізніше ніж за 21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календарний</w:t>
                                  </w:r>
                                  <w:r>
                                    <w:rPr>
                                      <w:spacing w:val="-1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1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передбачуваної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дати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дострокового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припинення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терміну</w:t>
                                  </w:r>
                                  <w:r>
                                    <w:rPr>
                                      <w:spacing w:val="-15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(строку)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дії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чинного</w:t>
                                  </w:r>
                                  <w:r>
                                    <w:rPr>
                                      <w:spacing w:val="-5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розмірі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вартості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заявленої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Споживачем,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як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прогнозований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договірний обсяг споживання в місяці, в якому було подано повідомлення про дострокове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припинення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дії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договору.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 w:before="0" w:after="0"/>
                                    <w:ind w:left="141" w:right="127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Сторони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домовились,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1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разі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звернення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Споживача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(розірвання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договору,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припинення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його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дії,</w:t>
                                  </w:r>
                                  <w:r>
                                    <w:rPr>
                                      <w:spacing w:val="-5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тощо) щодо повернення йому переплати, що виникла за Договором про постачання електричної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споживачам,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Постачальник</w:t>
                                  </w:r>
                                  <w:r>
                                    <w:rPr>
                                      <w:spacing w:val="-8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зобов’язаний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повернути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кошти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строк</w:t>
                                  </w:r>
                                  <w:r>
                                    <w:rPr>
                                      <w:spacing w:val="-8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передбачений</w:t>
                                  </w:r>
                                  <w:r>
                                    <w:rPr>
                                      <w:spacing w:val="-8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ПРРЕЕ.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8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90" w:before="43" w:after="0"/>
                                    <w:ind w:left="139" w:right="138" w:hanging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Компенсація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недотримання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комерційної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якості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надання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7" w:before="0" w:after="0"/>
                                    <w:ind w:left="138" w:right="138" w:hanging="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послуг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jc w:val="left"/>
                                    <w:rPr>
                                      <w:b/>
                                      <w:sz w:val="33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33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41" w:right="129" w:hanging="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недотримання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Постачальником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комерційної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якості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послуг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компенсація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недотримання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постачальником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комерційної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якості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надання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послуг,</w:t>
                                  </w:r>
                                  <w:r>
                                    <w:rPr>
                                      <w:spacing w:val="-7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компенсація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надається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порядку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розмірі,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визначеному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постановою НКРЕКП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№375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від 12.06.2018 року.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40" w:hRule="atLeast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 w:before="151" w:after="0"/>
                                    <w:ind w:left="208" w:right="209" w:firstLine="2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Можливість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захищеним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споживачам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6" w:after="0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31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41" w:hanging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Так,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врахуванням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особливостей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визначених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законодавством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stroked="f" o:allowincell="f" style="position:absolute;margin-left:36pt;margin-top:21.35pt;width:559.75pt;height:757.3pt;mso-wrap-style:none;v-text-anchor:middle;mso-position-horizontal-relative:page;mso-position-vertical-relative:page" wp14:anchorId="498342F5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10629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272"/>
                        <w:gridCol w:w="9356"/>
                      </w:tblGrid>
                      <w:tr>
                        <w:trPr>
                          <w:trHeight w:val="2668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621" w:hanging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Спосіб</w:t>
                            </w:r>
                            <w:r>
                              <w:rPr>
                                <w:b/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оплати</w:t>
                            </w:r>
                          </w:p>
                        </w:tc>
                        <w:tc>
                          <w:tcPr>
                            <w:tcW w:w="9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76" w:before="2" w:after="0"/>
                              <w:ind w:left="141" w:right="131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 здійснює оплату за електроенергію до початку розрахункового періоду, в місяці що передує розрахунковому, попереднім платежем (Вп) 100% від загальної вартості заявленого в Повідомленні планованого обсягу споживання електричної енергії (Vп), виходячи з фіксованої ціни та тарифу на послуги з передачі електричної енергії, на підставі рахунку Постачальника на попередню оплату або самостійно розрахованої (за формулою Вп = Vп × (Ц + Тосп), грошовими коштами на рахунок Постачальника. Після закінчення розрахункового періоду остаточний розрахунок (перерахунок) здійснюється за фактичним обсягом споживання електричної енергії з використанням фактичної закупівельної вартості електричної енергії, що закуплена Постачальником за результатами розрахункового періоду.</w:t>
                            </w:r>
                          </w:p>
                        </w:tc>
                      </w:tr>
                      <w:tr>
                        <w:trPr>
                          <w:trHeight w:val="2253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jc w:val="left"/>
                              <w:rPr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33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35" w:before="0" w:after="0"/>
                              <w:ind w:left="732" w:right="210" w:hanging="50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Розмір пені та/або</w:t>
                            </w:r>
                            <w:r>
                              <w:rPr>
                                <w:b/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штрафу</w:t>
                            </w:r>
                          </w:p>
                        </w:tc>
                        <w:tc>
                          <w:tcPr>
                            <w:tcW w:w="9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41" w:right="131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 разі несвоєчасної оплати обумовлених даним Додатком платежів, Постачальник електричної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 проводить Споживачу</w:t>
                            </w:r>
                            <w:r>
                              <w:rPr>
                                <w:spacing w:val="-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нарахування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весь час прострочення: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41" w:right="129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пені у розмірі 0,5% за кожен день прострочення, але не більше подвійної облікової ставки НБУ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від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суми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боргу, що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діяла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період, за який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здійснюються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нарахування;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52" w:before="0" w:after="0"/>
                              <w:ind w:left="141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3%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річних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від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простроченої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суми.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41" w:right="126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При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цьому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сума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боргу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повинна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бути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сплачена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Споживачем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урахуванням</w:t>
                            </w:r>
                            <w:r>
                              <w:rPr>
                                <w:spacing w:val="-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встановленого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індексу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інфляції.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Пеня,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3%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річних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та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інфляційні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нарахування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сплачуються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поточ</w:t>
                            </w:r>
                            <w:bookmarkStart w:id="1" w:name="_GoBack"/>
                            <w:bookmarkEnd w:id="1"/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ний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рахунок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Постачальника</w:t>
                            </w:r>
                            <w:r>
                              <w:rPr>
                                <w:spacing w:val="7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електричної</w:t>
                            </w:r>
                            <w:r>
                              <w:rPr>
                                <w:spacing w:val="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енергії,</w:t>
                            </w:r>
                            <w:r>
                              <w:rPr>
                                <w:spacing w:val="7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який</w:t>
                            </w:r>
                            <w:r>
                              <w:rPr>
                                <w:spacing w:val="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вказується</w:t>
                            </w:r>
                            <w:r>
                              <w:rPr>
                                <w:spacing w:val="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</w:t>
                            </w:r>
                            <w:r>
                              <w:rPr>
                                <w:spacing w:val="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рахунках,</w:t>
                            </w:r>
                            <w:r>
                              <w:rPr>
                                <w:spacing w:val="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протягом</w:t>
                            </w:r>
                            <w:r>
                              <w:rPr>
                                <w:spacing w:val="8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5</w:t>
                            </w:r>
                            <w:r>
                              <w:rPr>
                                <w:spacing w:val="8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операційних</w:t>
                            </w:r>
                            <w:r>
                              <w:rPr>
                                <w:spacing w:val="7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днів</w:t>
                            </w:r>
                            <w:r>
                              <w:rPr>
                                <w:spacing w:val="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6" w:before="0" w:after="0"/>
                              <w:ind w:left="141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дня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їх отримання.</w:t>
                            </w:r>
                          </w:p>
                        </w:tc>
                      </w:tr>
                      <w:tr>
                        <w:trPr>
                          <w:trHeight w:val="1706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90" w:before="170" w:after="0"/>
                              <w:ind w:left="112" w:right="112" w:hanging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Порядок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звіряння</w:t>
                            </w:r>
                            <w:r>
                              <w:rPr>
                                <w:b/>
                                <w:spacing w:val="-42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фактичного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обсягу спожитої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електроенергії</w:t>
                            </w:r>
                          </w:p>
                        </w:tc>
                        <w:tc>
                          <w:tcPr>
                            <w:tcW w:w="9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69" w:after="0"/>
                              <w:ind w:left="141" w:hanging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Проводиться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перший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робочий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день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місяця,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що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слідує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розрахунковим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місяцем</w:t>
                            </w:r>
                          </w:p>
                        </w:tc>
                      </w:tr>
                      <w:tr>
                        <w:trPr>
                          <w:trHeight w:val="1996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90" w:before="170" w:after="0"/>
                              <w:ind w:left="139" w:right="136" w:hanging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12"/>
                                <w:szCs w:val="22"/>
                                <w:lang w:eastAsia="en-US" w:bidi="ar-SA"/>
                              </w:rPr>
                              <w:t>Т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ермін надання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рахунку за спожиту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електричну енергію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2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строк</w:t>
                            </w:r>
                            <w:r>
                              <w:rPr>
                                <w:b/>
                                <w:spacing w:val="-3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його</w:t>
                            </w:r>
                            <w:r>
                              <w:rPr>
                                <w:b/>
                                <w:spacing w:val="-4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оплати</w:t>
                            </w:r>
                          </w:p>
                        </w:tc>
                        <w:tc>
                          <w:tcPr>
                            <w:tcW w:w="9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7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59" w:before="0" w:after="0"/>
                              <w:ind w:left="141" w:right="128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Після закінчення розрахункового періоду Постачальник надає Споживачу рахунок на оплату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вартості</w:t>
                            </w:r>
                            <w:r>
                              <w:rPr>
                                <w:spacing w:val="-1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спожитої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електроенергії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розрахунковому</w:t>
                            </w:r>
                            <w:r>
                              <w:rPr>
                                <w:spacing w:val="-1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періоді.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здійснює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оплату</w:t>
                            </w:r>
                            <w:r>
                              <w:rPr>
                                <w:spacing w:val="-1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протягом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5 робочих днів від дня отримання рахунку, безготівковими грошовими коштами на рахунок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Постачальника,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але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пізніше ніж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15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числа місяця,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що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слідує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розрахунковим.</w:t>
                            </w:r>
                          </w:p>
                        </w:tc>
                      </w:tr>
                      <w:tr>
                        <w:trPr>
                          <w:trHeight w:val="3362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 w:before="135" w:after="0"/>
                              <w:ind w:left="213" w:right="215" w:hang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Розмір штрафу за дострокове</w:t>
                            </w:r>
                            <w:r>
                              <w:rPr>
                                <w:b/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розірвання Договору у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випадках, не передбачених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умовами</w:t>
                            </w:r>
                            <w:r>
                              <w:rPr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</w:t>
                            </w:r>
                          </w:p>
                        </w:tc>
                        <w:tc>
                          <w:tcPr>
                            <w:tcW w:w="9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59" w:before="0" w:after="0"/>
                              <w:ind w:left="141" w:right="126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який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має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чинний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договір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постачання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електричної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споживачу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фіксованим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терміном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(строком)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дії,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зобов’язаний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розрахунковому</w:t>
                            </w:r>
                            <w:r>
                              <w:rPr>
                                <w:spacing w:val="5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періоді</w:t>
                            </w:r>
                            <w:r>
                              <w:rPr>
                                <w:spacing w:val="5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</w:t>
                            </w:r>
                            <w:r>
                              <w:rPr>
                                <w:spacing w:val="5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якому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ініційовано дострокове розірвання договору, окрім фактично спожитих обсягів електроенергії,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сплатити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штраф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дострокове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припинення</w:t>
                            </w:r>
                            <w:r>
                              <w:rPr>
                                <w:spacing w:val="-1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дії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договору.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Штраф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сплачується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тому</w:t>
                            </w:r>
                            <w:r>
                              <w:rPr>
                                <w:spacing w:val="-1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випадку</w:t>
                            </w:r>
                            <w:r>
                              <w:rPr>
                                <w:spacing w:val="-1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коли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повідомлення Споживача про дострокове припинення договору здійснено пізніше ніж за 21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календарний</w:t>
                            </w:r>
                            <w:r>
                              <w:rPr>
                                <w:spacing w:val="-1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день</w:t>
                            </w:r>
                            <w:r>
                              <w:rPr>
                                <w:spacing w:val="-1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передбачуваної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дати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дострокового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припинення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терміну</w:t>
                            </w:r>
                            <w:r>
                              <w:rPr>
                                <w:spacing w:val="-15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(строку)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дії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чинного</w:t>
                            </w:r>
                            <w:r>
                              <w:rPr>
                                <w:spacing w:val="-5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розмірі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вартості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електричної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заявленої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Споживачем,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як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прогнозований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договірний обсяг споживання в місяці, в якому було подано повідомлення про дострокове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припинення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дії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договору.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59" w:before="0" w:after="0"/>
                              <w:ind w:left="141" w:right="127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Сторони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домовились,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що</w:t>
                            </w:r>
                            <w:r>
                              <w:rPr>
                                <w:spacing w:val="-1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разі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звернення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Споживача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(розірвання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договору,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припинення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його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дії,</w:t>
                            </w:r>
                            <w:r>
                              <w:rPr>
                                <w:spacing w:val="-5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тощо) щодо повернення йому переплати, що виникла за Договором про постачання електричної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</w:t>
                            </w:r>
                            <w:r>
                              <w:rPr>
                                <w:spacing w:val="-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споживачам,</w:t>
                            </w:r>
                            <w:r>
                              <w:rPr>
                                <w:spacing w:val="-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Постачальник</w:t>
                            </w:r>
                            <w:r>
                              <w:rPr>
                                <w:spacing w:val="-8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зобов’язаний</w:t>
                            </w:r>
                            <w:r>
                              <w:rPr>
                                <w:spacing w:val="-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повернути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кошти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строк</w:t>
                            </w:r>
                            <w:r>
                              <w:rPr>
                                <w:spacing w:val="-8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передбачений</w:t>
                            </w:r>
                            <w:r>
                              <w:rPr>
                                <w:spacing w:val="-8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ПРРЕЕ.</w:t>
                            </w:r>
                          </w:p>
                        </w:tc>
                      </w:tr>
                      <w:tr>
                        <w:trPr>
                          <w:trHeight w:val="1538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90" w:before="43" w:after="0"/>
                              <w:ind w:left="139" w:right="138" w:hanging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Компенсація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42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недотримання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комерційної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якості</w:t>
                            </w:r>
                            <w:r>
                              <w:rPr>
                                <w:b/>
                                <w:spacing w:val="-5"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надання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97" w:before="0" w:after="0"/>
                              <w:ind w:left="138" w:right="138" w:hanging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послуг</w:t>
                            </w:r>
                          </w:p>
                        </w:tc>
                        <w:tc>
                          <w:tcPr>
                            <w:tcW w:w="9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jc w:val="left"/>
                              <w:rPr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33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41" w:right="129" w:hanging="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недотримання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Постачальником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комерційної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якості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послуг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компенсація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недотримання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постачальником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комерційної</w:t>
                            </w:r>
                            <w:r>
                              <w:rPr>
                                <w:spacing w:val="-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якості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надання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послуг,</w:t>
                            </w:r>
                            <w:r>
                              <w:rPr>
                                <w:spacing w:val="-7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компенсація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надається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у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порядку</w:t>
                            </w:r>
                            <w:r>
                              <w:rPr>
                                <w:spacing w:val="-1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та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розмірі,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визначеному</w:t>
                            </w:r>
                            <w:r>
                              <w:rPr>
                                <w:spacing w:val="-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постановою НКРЕКП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№375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від 12.06.2018 року.</w:t>
                            </w:r>
                          </w:p>
                        </w:tc>
                      </w:tr>
                      <w:tr>
                        <w:trPr>
                          <w:trHeight w:val="1540" w:hRule="atLeast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59" w:before="151" w:after="0"/>
                              <w:ind w:left="208" w:right="209" w:firstLine="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Можливість</w:t>
                            </w:r>
                            <w:r>
                              <w:rPr>
                                <w:b/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постачання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захищеним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споживачам</w:t>
                            </w:r>
                          </w:p>
                        </w:tc>
                        <w:tc>
                          <w:tcPr>
                            <w:tcW w:w="9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6" w:after="0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31"/>
                                <w:szCs w:val="22"/>
                                <w:lang w:eastAsia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41" w:hanging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Так,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врахуванням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особливостей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визначених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законодавством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5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35"/>
        <w:ind w:left="200" w:right="567" w:firstLine="566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4BAC9542">
                <wp:simplePos x="0" y="0"/>
                <wp:positionH relativeFrom="page">
                  <wp:posOffset>457200</wp:posOffset>
                </wp:positionH>
                <wp:positionV relativeFrom="paragraph">
                  <wp:posOffset>-1188085</wp:posOffset>
                </wp:positionV>
                <wp:extent cx="7109460" cy="1187450"/>
                <wp:effectExtent l="0" t="0" r="0" b="0"/>
                <wp:wrapNone/>
                <wp:docPr id="5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640" cy="1187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629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001"/>
                              <w:gridCol w:w="271"/>
                              <w:gridCol w:w="9357"/>
                            </w:tblGrid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ind w:left="270" w:right="268" w:firstLine="15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Термін дії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0" w:before="0" w:after="0"/>
                                    <w:ind w:left="311" w:right="293" w:firstLine="3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bottom w:val="single" w:sz="2" w:space="0" w:color="FFFFFF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2" w:after="0"/>
                                    <w:ind w:left="141" w:right="129" w:firstLine="132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Договір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споживачі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набирає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чинності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1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моменту</w:t>
                                  </w:r>
                                  <w:r>
                                    <w:rPr>
                                      <w:spacing w:val="-1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погодження</w:t>
                                  </w:r>
                                  <w:r>
                                    <w:rPr>
                                      <w:spacing w:val="-5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(акцептування)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Споживачем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заяви-приєднання,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яка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є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Додатком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підписання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комерційної пропозиції, яка є Додатком 2 до Договору та сплаченого рахунку Постачальника.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Договір на умовах цієї комерційної пропозиції укладається на строк до 31.12.202_ року, а в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частині розрахунків договір діє до повного їх виконання. Договір вважається продовженим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кожний наступний календарний рік, якщо за 30 календарних днів до закінчення терміну дії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Договору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жодною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із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Сторін не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буде заявлено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про припинення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його дії,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так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щоразу.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87" w:hRule="atLeast"/>
                              </w:trPr>
                              <w:tc>
                                <w:tcPr>
                                  <w:tcW w:w="100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"/>
                                      <w:szCs w:val="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FFFFF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35" w:before="11" w:after="0"/>
                                    <w:ind w:left="554" w:right="-15" w:hanging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>енергії: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"/>
                                      <w:szCs w:val="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36pt;margin-top:-93.55pt;width:559.75pt;height:93.45pt;mso-wrap-style:none;v-text-anchor:middle;mso-position-horizontal-relative:page" wp14:anchorId="4BAC9542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10629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0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001"/>
                        <w:gridCol w:w="271"/>
                        <w:gridCol w:w="9357"/>
                      </w:tblGrid>
                      <w:tr>
                        <w:trPr>
                          <w:trHeight w:val="552" w:hRule="atLeast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ind w:left="270" w:right="268" w:firstLine="15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Термін дії</w:t>
                            </w:r>
                            <w:r>
                              <w:rPr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</w:t>
                            </w:r>
                            <w:r>
                              <w:rPr>
                                <w:b/>
                                <w:spacing w:val="-8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50" w:before="0" w:after="0"/>
                              <w:ind w:left="311" w:right="293" w:firstLine="3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постачання</w:t>
                            </w:r>
                            <w:r>
                              <w:rPr>
                                <w:b/>
                                <w:spacing w:val="-5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bottom w:val="single" w:sz="2" w:space="0" w:color="FFFFFF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935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2" w:after="0"/>
                              <w:ind w:left="141" w:right="129" w:firstLine="132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Договір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постачання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електричної</w:t>
                            </w:r>
                            <w:r>
                              <w:rPr>
                                <w:spacing w:val="-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</w:t>
                            </w:r>
                            <w:r>
                              <w:rPr>
                                <w:spacing w:val="-9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споживачі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набирає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чинності</w:t>
                            </w:r>
                            <w:r>
                              <w:rPr>
                                <w:spacing w:val="-10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</w:t>
                            </w:r>
                            <w:r>
                              <w:rPr>
                                <w:spacing w:val="-1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моменту</w:t>
                            </w:r>
                            <w:r>
                              <w:rPr>
                                <w:spacing w:val="-1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погодження</w:t>
                            </w:r>
                            <w:r>
                              <w:rPr>
                                <w:spacing w:val="-5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(акцептування)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Споживачем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заяви-приєднання,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яка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є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Додатком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Договору,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підписання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комерційної пропозиції, яка є Додатком 2 до Договору та сплаченого рахунку Постачальника.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Договір на умовах цієї комерційної пропозиції укладається на строк до 31.12.202_ року, а в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частині розрахунків договір діє до повного їх виконання. Договір вважається продовженим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кожний наступний календарний рік, якщо за 30 календарних днів до закінчення терміну дії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Договору</w:t>
                            </w:r>
                            <w:r>
                              <w:rPr>
                                <w:spacing w:val="-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жодною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із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Сторін не</w:t>
                            </w:r>
                            <w:r>
                              <w:rPr>
                                <w:spacing w:val="-1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буде заявлено</w:t>
                            </w:r>
                            <w:r>
                              <w:rPr>
                                <w:spacing w:val="-4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про припинення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його дії,</w:t>
                            </w: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і</w:t>
                            </w:r>
                            <w:r>
                              <w:rPr>
                                <w:spacing w:val="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так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щоразу.</w:t>
                            </w:r>
                          </w:p>
                        </w:tc>
                      </w:tr>
                      <w:tr>
                        <w:trPr>
                          <w:trHeight w:val="1287" w:hRule="atLeast"/>
                        </w:trPr>
                        <w:tc>
                          <w:tcPr>
                            <w:tcW w:w="100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Style19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"/>
                                <w:szCs w:val="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2" w:space="0" w:color="FFFFFF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35" w:before="11" w:after="0"/>
                              <w:ind w:left="554" w:right="-15" w:hanging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енергії:</w:t>
                            </w:r>
                          </w:p>
                        </w:tc>
                        <w:tc>
                          <w:tcPr>
                            <w:tcW w:w="935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"/>
                                <w:szCs w:val="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-52"/>
        </w:rPr>
        <w:t xml:space="preserve"> </w:t>
      </w:r>
      <w:r>
        <w:rPr/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rPr/>
        <w:t>дійсної комерційної</w:t>
      </w:r>
      <w:r>
        <w:rPr>
          <w:spacing w:val="1"/>
        </w:rPr>
        <w:t xml:space="preserve"> </w:t>
      </w:r>
      <w:r>
        <w:rPr/>
        <w:t>пропозиції.</w:t>
      </w:r>
    </w:p>
    <w:p>
      <w:pPr>
        <w:pStyle w:val="Normal"/>
        <w:ind w:left="766" w:hanging="0"/>
        <w:rPr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3"/>
        </w:rPr>
        <w:t xml:space="preserve"> </w:t>
      </w:r>
      <w:r>
        <w:rPr>
          <w:b/>
        </w:rPr>
        <w:t xml:space="preserve">субсидій: </w:t>
      </w:r>
      <w:r>
        <w:rPr/>
        <w:t>Не</w:t>
      </w:r>
      <w:r>
        <w:rPr>
          <w:spacing w:val="-2"/>
        </w:rPr>
        <w:t xml:space="preserve"> </w:t>
      </w:r>
      <w:r>
        <w:rPr/>
        <w:t>надаються.</w:t>
      </w:r>
    </w:p>
    <w:p>
      <w:pPr>
        <w:pStyle w:val="1"/>
        <w:spacing w:before="25" w:after="0"/>
        <w:rPr/>
      </w:pPr>
      <w:r>
        <w:rPr/>
        <w:t>Інше:</w:t>
      </w:r>
    </w:p>
    <w:p>
      <w:pPr>
        <w:pStyle w:val="Style15"/>
        <w:spacing w:lineRule="auto" w:line="259" w:before="16" w:after="0"/>
        <w:ind w:left="200" w:right="647" w:firstLine="566"/>
        <w:jc w:val="both"/>
        <w:rPr/>
      </w:pPr>
      <w:r>
        <w:rPr/>
        <w:t>Про</w:t>
      </w:r>
      <w:r>
        <w:rPr>
          <w:spacing w:val="1"/>
        </w:rPr>
        <w:t xml:space="preserve"> </w:t>
      </w:r>
      <w:r>
        <w:rPr/>
        <w:t>зміну</w:t>
      </w:r>
      <w:r>
        <w:rPr>
          <w:spacing w:val="1"/>
        </w:rPr>
        <w:t xml:space="preserve"> </w:t>
      </w:r>
      <w:r>
        <w:rPr/>
        <w:t>будь-яких</w:t>
      </w:r>
      <w:r>
        <w:rPr>
          <w:spacing w:val="1"/>
        </w:rPr>
        <w:t xml:space="preserve"> </w:t>
      </w:r>
      <w:r>
        <w:rPr/>
        <w:t>умов</w:t>
      </w:r>
      <w:r>
        <w:rPr>
          <w:spacing w:val="1"/>
        </w:rPr>
        <w:t xml:space="preserve"> </w:t>
      </w:r>
      <w:r>
        <w:rPr/>
        <w:t>договору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постачання</w:t>
      </w:r>
      <w:r>
        <w:rPr>
          <w:spacing w:val="1"/>
        </w:rPr>
        <w:t xml:space="preserve"> </w:t>
      </w:r>
      <w:r>
        <w:rPr/>
        <w:t>електричної</w:t>
      </w:r>
      <w:r>
        <w:rPr>
          <w:spacing w:val="1"/>
        </w:rPr>
        <w:t xml:space="preserve"> </w:t>
      </w:r>
      <w:r>
        <w:rPr/>
        <w:t>енергії</w:t>
      </w:r>
      <w:r>
        <w:rPr>
          <w:spacing w:val="1"/>
        </w:rPr>
        <w:t xml:space="preserve"> </w:t>
      </w:r>
      <w:r>
        <w:rPr/>
        <w:t>споживачу,</w:t>
      </w:r>
      <w:r>
        <w:rPr>
          <w:spacing w:val="1"/>
        </w:rPr>
        <w:t xml:space="preserve"> </w:t>
      </w:r>
      <w:r>
        <w:rPr/>
        <w:t>Постачальник</w:t>
      </w:r>
      <w:r>
        <w:rPr>
          <w:spacing w:val="1"/>
        </w:rPr>
        <w:t xml:space="preserve"> </w:t>
      </w:r>
      <w:r>
        <w:rPr/>
        <w:t>проінформує</w:t>
      </w:r>
      <w:r>
        <w:rPr>
          <w:spacing w:val="-2"/>
        </w:rPr>
        <w:t xml:space="preserve"> </w:t>
      </w:r>
      <w:r>
        <w:rPr/>
        <w:t>Споживача одним</w:t>
      </w:r>
      <w:r>
        <w:rPr>
          <w:spacing w:val="-1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наступних способів: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5" w:leader="none"/>
        </w:tabs>
        <w:spacing w:lineRule="exact" w:line="251"/>
        <w:ind w:left="894" w:hanging="129"/>
        <w:rPr/>
      </w:pPr>
      <w:r>
        <w:rPr/>
        <w:t>засобами</w:t>
      </w:r>
      <w:r>
        <w:rPr>
          <w:spacing w:val="-3"/>
        </w:rPr>
        <w:t xml:space="preserve"> </w:t>
      </w:r>
      <w:r>
        <w:rPr/>
        <w:t>електронного</w:t>
      </w:r>
      <w:r>
        <w:rPr>
          <w:spacing w:val="-5"/>
        </w:rPr>
        <w:t xml:space="preserve"> </w:t>
      </w:r>
      <w:r>
        <w:rPr/>
        <w:t>зв’язку;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5" w:leader="none"/>
        </w:tabs>
        <w:spacing w:before="21" w:after="0"/>
        <w:ind w:left="894" w:hanging="129"/>
        <w:rPr/>
      </w:pPr>
      <w:r>
        <w:rPr/>
        <w:t>в</w:t>
      </w:r>
      <w:r>
        <w:rPr>
          <w:spacing w:val="-3"/>
        </w:rPr>
        <w:t xml:space="preserve"> </w:t>
      </w:r>
      <w:r>
        <w:rPr/>
        <w:t>центрі</w:t>
      </w:r>
      <w:r>
        <w:rPr>
          <w:spacing w:val="-2"/>
        </w:rPr>
        <w:t xml:space="preserve"> </w:t>
      </w:r>
      <w:r>
        <w:rPr/>
        <w:t>обслуговування.</w:t>
      </w:r>
    </w:p>
    <w:p>
      <w:pPr>
        <w:pStyle w:val="Style15"/>
        <w:spacing w:lineRule="auto" w:line="259" w:before="21" w:after="0"/>
        <w:ind w:left="200" w:right="639" w:firstLine="566"/>
        <w:jc w:val="both"/>
        <w:rPr/>
      </w:pPr>
      <w:r>
        <w:rPr/>
        <w:t>Споживач</w:t>
      </w:r>
      <w:r>
        <w:rPr>
          <w:spacing w:val="1"/>
        </w:rPr>
        <w:t xml:space="preserve"> </w:t>
      </w:r>
      <w:r>
        <w:rPr/>
        <w:t>має</w:t>
      </w:r>
      <w:r>
        <w:rPr>
          <w:spacing w:val="1"/>
        </w:rPr>
        <w:t xml:space="preserve"> </w:t>
      </w:r>
      <w:r>
        <w:rPr/>
        <w:t>можливість</w:t>
      </w:r>
      <w:r>
        <w:rPr>
          <w:spacing w:val="1"/>
        </w:rPr>
        <w:t xml:space="preserve"> </w:t>
      </w:r>
      <w:r>
        <w:rPr/>
        <w:t>ознайомитись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формою</w:t>
      </w:r>
      <w:r>
        <w:rPr>
          <w:spacing w:val="1"/>
        </w:rPr>
        <w:t xml:space="preserve"> </w:t>
      </w:r>
      <w:r>
        <w:rPr/>
        <w:t>Договору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постачання</w:t>
      </w:r>
      <w:r>
        <w:rPr>
          <w:spacing w:val="1"/>
        </w:rPr>
        <w:t xml:space="preserve"> </w:t>
      </w:r>
      <w:r>
        <w:rPr/>
        <w:t>електричної</w:t>
      </w:r>
      <w:r>
        <w:rPr>
          <w:spacing w:val="1"/>
        </w:rPr>
        <w:t xml:space="preserve"> </w:t>
      </w:r>
      <w:r>
        <w:rPr/>
        <w:t>енергії</w:t>
      </w:r>
      <w:r>
        <w:rPr>
          <w:spacing w:val="1"/>
        </w:rPr>
        <w:t xml:space="preserve"> </w:t>
      </w:r>
      <w:r>
        <w:rPr/>
        <w:t>споживачу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додатками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договору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офіційному</w:t>
      </w:r>
      <w:r>
        <w:rPr>
          <w:spacing w:val="1"/>
        </w:rPr>
        <w:t xml:space="preserve"> </w:t>
      </w:r>
      <w:r>
        <w:rPr/>
        <w:t>сайті</w:t>
      </w:r>
      <w:r>
        <w:rPr>
          <w:spacing w:val="1"/>
        </w:rPr>
        <w:t xml:space="preserve"> </w:t>
      </w:r>
      <w:r>
        <w:rPr/>
        <w:t>ТОВ</w:t>
      </w:r>
      <w:r>
        <w:rPr>
          <w:spacing w:val="1"/>
        </w:rPr>
        <w:t xml:space="preserve"> </w:t>
      </w:r>
      <w:r>
        <w:rPr/>
        <w:t>«ІВАНО-ФРАНКІВСЬКГАЗ</w:t>
      </w:r>
      <w:r>
        <w:rPr>
          <w:spacing w:val="1"/>
        </w:rPr>
        <w:t xml:space="preserve"> </w:t>
      </w:r>
      <w:r>
        <w:rPr/>
        <w:t>ЗБУТ»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hyperlink r:id="rId2">
        <w:r>
          <w:rPr>
            <w:color w:val="0462C1"/>
            <w:u w:val="single" w:color="0462C1"/>
          </w:rPr>
          <w:t>https://ifgaszbut.com.ua/ua/</w:t>
        </w:r>
      </w:hyperlink>
    </w:p>
    <w:p>
      <w:pPr>
        <w:pStyle w:val="Style15"/>
        <w:rPr>
          <w:sz w:val="23"/>
        </w:rPr>
      </w:pPr>
      <w:r>
        <w:rPr>
          <w:sz w:val="23"/>
        </w:rPr>
      </w:r>
    </w:p>
    <w:tbl>
      <w:tblPr>
        <w:tblStyle w:val="TableNormal"/>
        <w:tblW w:w="9531" w:type="dxa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956"/>
        <w:gridCol w:w="4574"/>
      </w:tblGrid>
      <w:tr>
        <w:trPr>
          <w:trHeight w:val="5692" w:hRule="atLeast"/>
        </w:trPr>
        <w:tc>
          <w:tcPr>
            <w:tcW w:w="4956" w:type="dxa"/>
            <w:tcBorders/>
          </w:tcPr>
          <w:p>
            <w:pPr>
              <w:pStyle w:val="TableParagraph"/>
              <w:widowControl w:val="false"/>
              <w:spacing w:lineRule="auto" w:line="235" w:before="0" w:after="0"/>
              <w:ind w:left="483" w:right="177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ТОВ «ІВАНО-ФРАНКІВСЬКГАЗ ЗБУТ»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ЕІС-код: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56X930000000100P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483" w:hanging="0"/>
              <w:jc w:val="left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Адреса: 76010, Україна, Івано-Франківська область, місто Івано-Франківськ, вулиця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Короля Данила, 16А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4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Контактний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телефон: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(0342)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76-63-04</w:t>
            </w:r>
          </w:p>
          <w:p>
            <w:pPr>
              <w:pStyle w:val="TableParagraph"/>
              <w:widowControl w:val="false"/>
              <w:spacing w:before="0" w:after="0"/>
              <w:ind w:left="483" w:right="1973" w:hanging="0"/>
              <w:jc w:val="left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Електронна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адреса: </w:t>
            </w:r>
            <w:hyperlink r:id="rId3">
              <w:r>
                <w:rPr>
                  <w:rStyle w:val="Style13"/>
                  <w:kern w:val="0"/>
                  <w:sz w:val="22"/>
                  <w:szCs w:val="22"/>
                  <w:lang w:eastAsia="en-US" w:bidi="ar-SA"/>
                </w:rPr>
                <w:t>office@ifgaszbut.com.ua</w:t>
              </w:r>
            </w:hyperlink>
            <w:r>
              <w:rPr>
                <w:kern w:val="0"/>
                <w:sz w:val="22"/>
                <w:szCs w:val="22"/>
                <w:lang w:eastAsia="en-US" w:bidi="ar-SA"/>
              </w:rPr>
              <w:t xml:space="preserve">                            Ел. сайт: </w:t>
            </w:r>
            <w:hyperlink r:id="rId4">
              <w:r>
                <w:rPr>
                  <w:rStyle w:val="Style13"/>
                  <w:kern w:val="0"/>
                  <w:sz w:val="22"/>
                  <w:szCs w:val="22"/>
                  <w:lang w:eastAsia="en-US" w:bidi="ar-SA"/>
                </w:rPr>
                <w:t>https://ifgaszbut.com.ua/</w:t>
              </w:r>
            </w:hyperlink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483" w:right="177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IBAN: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4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UA783365030000026031322955003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4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«Ощадбанк»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4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Код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ЄДРПОУ: 39595350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4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ІПН: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395953509152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00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Директор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93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36E6E02A">
                      <wp:extent cx="2167255" cy="0"/>
                      <wp:effectExtent l="11430" t="3175" r="12065" b="6985"/>
                      <wp:docPr id="7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7200" cy="0"/>
                                <a:chOff x="0" y="0"/>
                                <a:chExt cx="21672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167200" cy="0"/>
                                </a:xfrm>
                                <a:prstGeom prst="line">
                                  <a:avLst/>
                                </a:prstGeom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" style="position:absolute;margin-left:0pt;margin-top:-0.85pt;width:170.6pt;height:0pt" coordorigin="0,-17" coordsize="3412,0">
                      <v:line id="shape_0" from="0,-17" to="3412,-17" ID="Line 5" stroked="t" o:allowincell="f" style="position:absolute;mso-position-vertical:top">
                        <v:stroke color="black" weight="900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08" w:before="0" w:after="0"/>
              <w:ind w:left="200" w:hanging="0"/>
              <w:jc w:val="left"/>
              <w:rPr>
                <w:sz w:val="12"/>
              </w:rPr>
            </w:pPr>
            <w:r>
              <w:rPr>
                <w:kern w:val="0"/>
                <w:sz w:val="12"/>
                <w:szCs w:val="22"/>
                <w:lang w:eastAsia="en-US" w:bidi="ar-SA"/>
              </w:rPr>
              <w:t>М.П.</w:t>
            </w:r>
          </w:p>
        </w:tc>
        <w:tc>
          <w:tcPr>
            <w:tcW w:w="4574" w:type="dxa"/>
            <w:tcBorders/>
          </w:tcPr>
          <w:p>
            <w:pPr>
              <w:pStyle w:val="TableParagraph"/>
              <w:widowControl w:val="false"/>
              <w:spacing w:lineRule="exact" w:line="244" w:before="0" w:after="0"/>
              <w:ind w:left="1183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Споживач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83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Директор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176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77C3E00">
                      <wp:extent cx="2026920" cy="0"/>
                      <wp:effectExtent l="10795" t="6985" r="10160" b="3175"/>
                      <wp:docPr id="8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800" cy="0"/>
                                <a:chOff x="0" y="0"/>
                                <a:chExt cx="20268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026800" cy="0"/>
                                </a:xfrm>
                                <a:prstGeom prst="line">
                                  <a:avLst/>
                                </a:prstGeom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" style="position:absolute;margin-left:0pt;margin-top:-0.85pt;width:159.55pt;height:0pt" coordorigin="0,-17" coordsize="3191,0">
                      <v:line id="shape_0" from="0,-17" to="3191,-17" ID="Line 3" stroked="t" o:allowincell="f" style="position:absolute;mso-position-vertical:top">
                        <v:stroke color="black" weight="900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ind w:left="1183" w:hanging="0"/>
              <w:jc w:val="left"/>
              <w:rPr>
                <w:sz w:val="12"/>
              </w:rPr>
            </w:pPr>
            <w:r>
              <w:rPr>
                <w:kern w:val="0"/>
                <w:sz w:val="12"/>
                <w:szCs w:val="22"/>
                <w:lang w:eastAsia="en-US" w:bidi="ar-SA"/>
              </w:rPr>
              <w:t>М.П.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20" w:right="0" w:gutter="0" w:header="0" w:top="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94" w:hanging="128"/>
      </w:pPr>
      <w:rPr>
        <w:rFonts w:ascii="Times New Roman" w:hAnsi="Times New Roman" w:cs="Times New Roman" w:hint="default"/>
        <w:sz w:val="22"/>
        <w:szCs w:val="22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48" w:hanging="128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7" w:hanging="12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45" w:hanging="12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94" w:hanging="12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43" w:hanging="12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91" w:hanging="12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40" w:hanging="12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89" w:hanging="128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spacing w:before="24" w:after="0"/>
      <w:ind w:left="766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fc039d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94" w:hanging="129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fgaszbut.com.ua/ua/" TargetMode="External"/><Relationship Id="rId3" Type="http://schemas.openxmlformats.org/officeDocument/2006/relationships/hyperlink" Target="mailto:office@ifgaszbut.com.ua" TargetMode="External"/><Relationship Id="rId4" Type="http://schemas.openxmlformats.org/officeDocument/2006/relationships/hyperlink" Target="https://ifgaszbut.com.u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LibreOffice/7.5.1.2$Windows_X86_64 LibreOffice_project/fcbaee479e84c6cd81291587d2ee68cba099e129</Application>
  <AppVersion>15.0000</AppVersion>
  <Pages>3</Pages>
  <Words>930</Words>
  <Characters>6539</Characters>
  <CharactersWithSpaces>7441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2022-08-17T14:10:00Z</dcterms:created>
  <dc:creator>Пользователь Windows</dc:creator>
  <dc:description/>
  <dc:language>uk-UA</dc:language>
  <cp:lastModifiedBy/>
  <dcterms:modified xsi:type="dcterms:W3CDTF">2024-07-03T12:07:44Z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